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KaiTi" w:cs="KaiTi" w:eastAsia="KaiTi" w:hAnsi="KaiTi"/>
          <w:b w:val="0"/>
          <w:i w:val="0"/>
          <w:smallCaps w:val="0"/>
          <w:strike w:val="0"/>
          <w:color w:val="000000"/>
          <w:sz w:val="36"/>
          <w:szCs w:val="36"/>
          <w:u w:val="none"/>
          <w:shd w:fill="auto" w:val="clear"/>
          <w:vertAlign w:val="baseline"/>
        </w:rPr>
      </w:pPr>
      <w:r w:rsidDel="00000000" w:rsidR="00000000" w:rsidRPr="00000000">
        <w:rPr>
          <w:rFonts w:ascii="KaiTi" w:cs="KaiTi" w:eastAsia="KaiTi" w:hAnsi="KaiTi"/>
          <w:b w:val="1"/>
          <w:i w:val="0"/>
          <w:smallCaps w:val="0"/>
          <w:strike w:val="0"/>
          <w:color w:val="000000"/>
          <w:sz w:val="36"/>
          <w:szCs w:val="36"/>
          <w:u w:val="single"/>
          <w:shd w:fill="auto" w:val="clear"/>
          <w:vertAlign w:val="baseline"/>
          <w:rtl w:val="0"/>
        </w:rPr>
        <w:t xml:space="preserve">北歐华人基督教會《教会及信徒生活手冊》</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北歐華人基督教會各教牧和宣教同工，面對涉及以下的信仰和信徒生活問題的內容，經過兩年來多次在不同的場合中討論，得出共識。盼結論能成為日後北歐華人基督教會各信徒的指引。</w:t>
      </w:r>
      <w:r w:rsidDel="00000000" w:rsidR="00000000" w:rsidRPr="00000000">
        <w:rPr>
          <w:rFonts w:ascii="KaiTi" w:cs="KaiTi" w:eastAsia="KaiTi" w:hAnsi="KaiTi"/>
          <w:b w:val="0"/>
          <w:i w:val="1"/>
          <w:smallCaps w:val="0"/>
          <w:strike w:val="0"/>
          <w:color w:val="000000"/>
          <w:sz w:val="28"/>
          <w:szCs w:val="28"/>
          <w:u w:val="none"/>
          <w:shd w:fill="auto" w:val="clear"/>
          <w:vertAlign w:val="baseline"/>
          <w:rtl w:val="0"/>
        </w:rPr>
        <w:t xml:space="preserve">(注：此手册经北欧华人教会联合理事会讨论，各长执会通过，于2008年7月1日后生效，由各堂牧者到分享介绍，解答问题。)</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1"/>
          <w:i w:val="0"/>
          <w:smallCaps w:val="0"/>
          <w:strike w:val="0"/>
          <w:color w:val="000000"/>
          <w:sz w:val="28"/>
          <w:szCs w:val="28"/>
          <w:u w:val="none"/>
          <w:shd w:fill="auto" w:val="clear"/>
          <w:vertAlign w:val="baseline"/>
          <w:rtl w:val="0"/>
        </w:rPr>
        <w:t xml:space="preserve">（一）聖靈恩賜之運用</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KaiTi" w:cs="KaiTi" w:eastAsia="KaiTi" w:hAnsi="KaiTi"/>
          <w:b w:val="0"/>
          <w:i w:val="0"/>
          <w:smallCaps w:val="0"/>
          <w:strike w:val="0"/>
          <w:color w:val="000000"/>
          <w:sz w:val="28"/>
          <w:szCs w:val="28"/>
          <w:u w:val="single"/>
          <w:shd w:fill="auto" w:val="clear"/>
          <w:vertAlign w:val="baseline"/>
          <w:rtl w:val="0"/>
        </w:rPr>
        <w:t xml:space="preserve">立場</w:t>
      </w: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在本教會的崇拜或聚會中若有信徒以方言開聲禱告，必須按次序逐一禱告，並且必須有另一位信徒得著翻方言的恩賜為用方言禱告的信徒翻譯。若否，我們則鼓勵用方言禱告的信徒在心裡默禱或留待回到家中時禱告。</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48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若有信徒或外來的牧師/傳道人/宣教士/講員在本教會的崇拜或聚會中運用超自然的恩賜例如先知預言、醫病或趕鬼等，必須在事前知會該福音堂之牧者，並得到其贊同後方可進行。</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ab/>
      </w:r>
      <w:r w:rsidDel="00000000" w:rsidR="00000000" w:rsidRPr="00000000">
        <w:rPr>
          <w:rFonts w:ascii="KaiTi" w:cs="KaiTi" w:eastAsia="KaiTi" w:hAnsi="KaiTi"/>
          <w:b w:val="0"/>
          <w:i w:val="0"/>
          <w:smallCaps w:val="0"/>
          <w:strike w:val="0"/>
          <w:color w:val="000000"/>
          <w:sz w:val="28"/>
          <w:szCs w:val="28"/>
          <w:u w:val="single"/>
          <w:shd w:fill="auto" w:val="clear"/>
          <w:vertAlign w:val="baseline"/>
          <w:rtl w:val="0"/>
        </w:rPr>
        <w:t xml:space="preserve">聖經基礎</w:t>
      </w: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48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(1)我們相信聖靈照基督的應許賜給凡願意相信及接受基督耶穌為救主的人（</w:t>
      </w:r>
      <w:r w:rsidDel="00000000" w:rsidR="00000000" w:rsidRPr="00000000">
        <w:rPr>
          <w:rFonts w:ascii="KaiTi" w:cs="KaiTi" w:eastAsia="KaiTi" w:hAnsi="KaiTi"/>
          <w:b w:val="0"/>
          <w:i w:val="1"/>
          <w:smallCaps w:val="0"/>
          <w:strike w:val="0"/>
          <w:color w:val="000000"/>
          <w:sz w:val="28"/>
          <w:szCs w:val="28"/>
          <w:u w:val="none"/>
          <w:shd w:fill="auto" w:val="clear"/>
          <w:vertAlign w:val="baseline"/>
          <w:rtl w:val="0"/>
        </w:rPr>
        <w:t xml:space="preserve">徒 </w:t>
      </w: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2:38）。</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48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(2)聖靈永遠居住在基督徒的生命中作保惠師（</w:t>
      </w:r>
      <w:r w:rsidDel="00000000" w:rsidR="00000000" w:rsidRPr="00000000">
        <w:rPr>
          <w:rFonts w:ascii="KaiTi" w:cs="KaiTi" w:eastAsia="KaiTi" w:hAnsi="KaiTi"/>
          <w:b w:val="0"/>
          <w:i w:val="1"/>
          <w:smallCaps w:val="0"/>
          <w:strike w:val="0"/>
          <w:color w:val="000000"/>
          <w:sz w:val="28"/>
          <w:szCs w:val="28"/>
          <w:u w:val="none"/>
          <w:shd w:fill="auto" w:val="clear"/>
          <w:vertAlign w:val="baseline"/>
          <w:rtl w:val="0"/>
        </w:rPr>
        <w:t xml:space="preserve">約 </w:t>
      </w: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14:16-17）。</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 (3)我們按照聖經的教導鼓勵基督徒應追求被聖靈的充滿（</w:t>
      </w:r>
      <w:r w:rsidDel="00000000" w:rsidR="00000000" w:rsidRPr="00000000">
        <w:rPr>
          <w:rFonts w:ascii="KaiTi" w:cs="KaiTi" w:eastAsia="KaiTi" w:hAnsi="KaiTi"/>
          <w:b w:val="0"/>
          <w:i w:val="1"/>
          <w:smallCaps w:val="0"/>
          <w:strike w:val="0"/>
          <w:color w:val="000000"/>
          <w:sz w:val="28"/>
          <w:szCs w:val="28"/>
          <w:u w:val="none"/>
          <w:shd w:fill="auto" w:val="clear"/>
          <w:vertAlign w:val="baseline"/>
          <w:rtl w:val="0"/>
        </w:rPr>
        <w:t xml:space="preserve">弗 </w:t>
      </w: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5:18）。</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 (4)我們不認同講方言是聖靈充滿的證據，能講方言只不過是證明基督徒得到聖靈百般恩賜的其中一種。我們相信基督徒若被聖靈充滿其中一個重要的証明是結滿聖靈的果子（</w:t>
      </w:r>
      <w:r w:rsidDel="00000000" w:rsidR="00000000" w:rsidRPr="00000000">
        <w:rPr>
          <w:rFonts w:ascii="KaiTi" w:cs="KaiTi" w:eastAsia="KaiTi" w:hAnsi="KaiTi"/>
          <w:b w:val="0"/>
          <w:i w:val="1"/>
          <w:smallCaps w:val="0"/>
          <w:strike w:val="0"/>
          <w:color w:val="000000"/>
          <w:sz w:val="28"/>
          <w:szCs w:val="28"/>
          <w:u w:val="none"/>
          <w:shd w:fill="auto" w:val="clear"/>
          <w:vertAlign w:val="baseline"/>
          <w:rtl w:val="0"/>
        </w:rPr>
        <w:t xml:space="preserve">加 </w:t>
      </w: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5:16-25)。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 (5)我們相信聖靈的充滿使基督徒能變得滿有能力、信心、膽量和喜樂來為主作見證（徒 1:8; 4:31)。</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ab/>
        <w:t xml:space="preserve">(6) 我們相信聖靈昔日如何藉眾使徒的手施行神蹟奇事今天祂仍然藉神子民的手彰顯祂的權能 (徒 2:43; 5:12; 6:8)。</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(7)不過我們不認為聖靈的能力單單藉神蹟奇事才能看見，我們相信聖靈的工作與能力的彰顯在基督徒的生命和生活的各層面中都能看到及經歷得到 (約 14:26; 16:8, 13-14)。</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   (8)我們相信聖靈隨己意分給信徒各樣屬靈的恩賜（林前 12:4-11, 27-28，羅12:5-8，彼前4:10-11）。</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ab/>
        <w:t xml:space="preserve">(9)若沒有人翻方言就應閉口不講（林前14:27-28, 33, 39-40）。</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(10)要鼓勵信徒多切慕追求能造就教會的恩賜 (林前 14:1-5, 12-19)。</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1"/>
          <w:i w:val="0"/>
          <w:smallCaps w:val="0"/>
          <w:strike w:val="0"/>
          <w:color w:val="000000"/>
          <w:sz w:val="28"/>
          <w:szCs w:val="28"/>
          <w:u w:val="none"/>
          <w:shd w:fill="auto" w:val="clear"/>
          <w:vertAlign w:val="baseline"/>
          <w:rtl w:val="0"/>
        </w:rPr>
        <w:t xml:space="preserve">（二）有關女牧師的按立 </w:t>
      </w:r>
      <w:r w:rsidDel="00000000" w:rsidR="00000000" w:rsidRPr="00000000">
        <w:rPr>
          <w:rFonts w:ascii="KaiTi" w:cs="KaiTi" w:eastAsia="KaiTi" w:hAnsi="KaiTi"/>
          <w:b w:val="1"/>
          <w:i w:val="1"/>
          <w:smallCaps w:val="0"/>
          <w:strike w:val="0"/>
          <w:color w:val="000000"/>
          <w:sz w:val="28"/>
          <w:szCs w:val="28"/>
          <w:u w:val="none"/>
          <w:shd w:fill="auto" w:val="clear"/>
          <w:vertAlign w:val="baseline"/>
          <w:rtl w:val="0"/>
        </w:rPr>
        <w:t xml:space="preserve">（注：这一立场已被提交联合理事会章程修改小组作为章程修改项目，唯经过章程法律程序完成后方为有效,此略。）</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1"/>
          <w:i w:val="0"/>
          <w:smallCaps w:val="0"/>
          <w:strike w:val="0"/>
          <w:color w:val="000000"/>
          <w:sz w:val="28"/>
          <w:szCs w:val="28"/>
          <w:u w:val="none"/>
          <w:shd w:fill="auto" w:val="clear"/>
          <w:vertAlign w:val="baseline"/>
          <w:rtl w:val="0"/>
        </w:rPr>
        <w:t xml:space="preserve">(三)  離婚和再婚</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ab/>
      </w:r>
      <w:r w:rsidDel="00000000" w:rsidR="00000000" w:rsidRPr="00000000">
        <w:rPr>
          <w:rFonts w:ascii="KaiTi" w:cs="KaiTi" w:eastAsia="KaiTi" w:hAnsi="KaiTi"/>
          <w:b w:val="0"/>
          <w:i w:val="0"/>
          <w:smallCaps w:val="0"/>
          <w:strike w:val="0"/>
          <w:color w:val="000000"/>
          <w:sz w:val="28"/>
          <w:szCs w:val="28"/>
          <w:u w:val="single"/>
          <w:shd w:fill="auto" w:val="clear"/>
          <w:vertAlign w:val="baseline"/>
          <w:rtl w:val="0"/>
        </w:rPr>
        <w:t xml:space="preserve">立場</w:t>
      </w: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離婚：丈夫離棄妻子, 或妻子離棄丈夫, 或雙方均同意離異, 皆作離婚論。離婚可以被接納的條件有二:</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36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ab/>
        <w:tab/>
        <w:tab/>
        <w:t xml:space="preserve">1. 配偶犯淫亂(太19:9)</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36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ab/>
        <w:tab/>
        <w:tab/>
        <w:t xml:space="preserve">2. 未信的配偶堅持要求離婚(林前7:15)</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   縱使附合以上兩個條件, 離婚仍是一種消極的准許, 並不是絕對的要求(太19:8-9)。</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ab/>
        <w:tab/>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   再婚：曾結婚者再結婚作再婚論。聖經容許信徒在三種情況下可以再婚:</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left" w:pos="1080"/>
        </w:tabs>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ab/>
        <w:tab/>
        <w:tab/>
        <w:t xml:space="preserve">1. 配偶離世, 在生者可以與信徒再婚(林前7:39)</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left" w:pos="1080"/>
        </w:tabs>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ab/>
        <w:tab/>
        <w:tab/>
        <w:t xml:space="preserve">2. 配偶因犯淫亂而引致離婚者,無的一方以可以再婚(申24:1-4)。但任何人與犯淫亂者再婚便是犯姦淫(太5:32)。</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left" w:pos="1080"/>
        </w:tabs>
        <w:spacing w:after="0" w:before="0" w:line="240" w:lineRule="auto"/>
        <w:ind w:left="0" w:right="0" w:firstLine="0"/>
        <w:jc w:val="both"/>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           3. 若信徒因其未信主之配偶堅持離婚, 離婚後又不肯復合,基於聖經沒有排除再婚的可能性, 本會亦不反對其與信徒再婚(林前7:15) 。但離婚不是再婚的根據。</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left" w:pos="1080"/>
        </w:tabs>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left" w:pos="1080"/>
        </w:tabs>
        <w:spacing w:after="0" w:before="0" w:line="240" w:lineRule="auto"/>
        <w:ind w:left="0" w:right="0" w:firstLine="0"/>
        <w:jc w:val="both"/>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   聖經未曾吩咐離婚者要再婚, 只是在某些情況下容許再婚, 再婚者要加倍謹慎, 一方面要為自己在過去婚姻失敗中所負責的錯誤後悔, 也要尋求教會的協助, 免重蹈覆轍.已再婚者在信主後毋須離棄新的配偶, 來重修第一段婚姻. 再婚者已破壞了第一次的婚約, 而神又已赦免了他的罪, 他應忠於新的配偶 (申24:3-4)。</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left" w:pos="1080"/>
        </w:tabs>
        <w:spacing w:after="0" w:before="0" w:line="240" w:lineRule="auto"/>
        <w:ind w:left="0" w:right="0" w:firstLine="0"/>
        <w:jc w:val="both"/>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left" w:pos="1080"/>
        </w:tabs>
        <w:spacing w:after="0" w:before="0" w:line="240" w:lineRule="auto"/>
        <w:ind w:left="0" w:right="0" w:firstLine="0"/>
        <w:jc w:val="both"/>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ab/>
        <w:t xml:space="preserve">我們相信, 根據聖經教導, 離婚和再婚不是神的旨意。 因此, 教會鼓勵會友和弟兄姊妹們要尊重婚姻的神聖性, 恒久忍耐, 努力維持婚姻的完整。 同時, 教會也承認人的軟弱和無知, 社會環境和文化的影響, 使得會友和弟兄姊妹主動或被動地離婚或再婚。教會雖然認為離婚是一個罪, 但也是一個可以得到神饒恕的罪, 因此, 教會願意接納每個真心認罪悔改和在基督裏建立了新生命的弟兄姊妹們。他們真心悔改的信心和行動蒙神赦免, 他們在教會中也應受到完全平等的對待。因此, 教會將根據他們的屬靈生命的情況以及他們的屬靈恩賜, 在適當的時候, 邀請他們參與不同的事奉。</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KaiTi" w:cs="KaiTi" w:eastAsia="KaiTi" w:hAnsi="KaiT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single"/>
          <w:shd w:fill="auto" w:val="clear"/>
          <w:vertAlign w:val="baseline"/>
          <w:rtl w:val="0"/>
        </w:rPr>
        <w:t xml:space="preserve">聖經基礎</w:t>
      </w: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舊約: </w:t>
        <w:tab/>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24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 -神設立婚姻是要夫婦二人在盟約中一生相守, 不可分離. 丈夫要堅定愛護幼年所娶的妻(瑪2:14-15)</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ab/>
        <w:tab/>
        <w:t xml:space="preserve"> -休妻離婚的事是神所恨惡的(瑪2:16)</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ab/>
        <w:t xml:space="preserve"> -從神與以色列人的關係看之, 神雖然審判背棄盟約的以色列人, 但祂至終要赦免他們, 且仍盼望他們與自己和好(結16:60-63). 因此在夫婦關係上, 縱然產生困難, 仍應該以[赦免] [和好]為目標.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ab/>
        <w:tab/>
        <w:t xml:space="preserve">新約: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ab/>
        <w:t xml:space="preserve">  -摩西準許以色列人休妻是因為知道人心剛硬, 不能遵照神起初的旨意行. 因此作此安排, 以控制錯誤(regulation of wrongs), 避免引來更大的問題 (太19:3-9).</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ab/>
        <w:t xml:space="preserve">  -婚姻是一生的. 摩西容許休妻, 但[起初]並不是這樣, 神設立婚姻起初的旨意是夫妻二人一生為一體(太19:8).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ab/>
        <w:t xml:space="preserve"> -主說[神所配合的, 人不可分開]: 當二人立誓結合時, 便應看作是神所配合的, 任何一方也無權與對方分開(太19:4-6).</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ab/>
        <w:t xml:space="preserve"> -離婚明顯不是神所喜悅的, 聖經呼籲丈夫不可離棄妻子, 妻子也不可離棄丈夫(縱然對方是未信的)(林前7:11-13)。</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ab/>
        <w:t xml:space="preserve"> -對於再婚的問題, 聖經指出守節是更有福氣(林前7:40)。</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left" w:pos="1080"/>
        </w:tabs>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ab/>
        <w:t xml:space="preserve"> -若離婚者信主後生命改變, 又願與前夫/前妻重修舊好, 則這種復合的再婚是榮耀神的, 但必須接受充份輔導(林前7:11)。</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left" w:pos="1200"/>
        </w:tabs>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left" w:pos="1200"/>
        </w:tabs>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1"/>
          <w:i w:val="0"/>
          <w:smallCaps w:val="0"/>
          <w:strike w:val="0"/>
          <w:color w:val="000000"/>
          <w:sz w:val="28"/>
          <w:szCs w:val="28"/>
          <w:u w:val="none"/>
          <w:shd w:fill="auto" w:val="clear"/>
          <w:vertAlign w:val="baseline"/>
          <w:rtl w:val="0"/>
        </w:rPr>
        <w:t xml:space="preserve">（四）同性戀</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left" w:pos="1200"/>
        </w:tabs>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ab/>
        <w:t xml:space="preserve">  </w:t>
      </w:r>
      <w:r w:rsidDel="00000000" w:rsidR="00000000" w:rsidRPr="00000000">
        <w:rPr>
          <w:rFonts w:ascii="KaiTi" w:cs="KaiTi" w:eastAsia="KaiTi" w:hAnsi="KaiTi"/>
          <w:b w:val="0"/>
          <w:i w:val="0"/>
          <w:smallCaps w:val="0"/>
          <w:strike w:val="0"/>
          <w:color w:val="000000"/>
          <w:sz w:val="28"/>
          <w:szCs w:val="28"/>
          <w:u w:val="single"/>
          <w:shd w:fill="auto" w:val="clear"/>
          <w:vertAlign w:val="baseline"/>
          <w:rtl w:val="0"/>
        </w:rPr>
        <w:t xml:space="preserve">立場</w:t>
      </w: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定義：廣義而言，同性戀是指對相同性別的人產生（性的）吸引，包括：對同性別的伴侶產生性慾的念頭、性感受、性幻想、性行為。但這些描述不能應用在對兒童、少年、囚犯、好奇貪玩者身上。</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聖經的立場很清楚，這應該也是教會的立場。同性戀的性行為是神所厭惡的，就正如其他的罪一樣。如果同性戀者對同性別的朋友或伴侶產生性慾的念頭、性感受、性幻想，也就是犯了姦淫，耶穌也曾在登山寶訓 (太5: 27-30) 中提醒我們。男女婚姻以外的任何種類的性關係，在聖經上是受到譴責的 (請參考創2:18-25；太19:3-10；可10: 6-10)，同性戀的性關係，就是其中一種。正因為同性戀的性行為是罪的一種，聖經告訴世人，世人若認自己的罪，神必然在耶穌裡赦免世人的罪，為世人帶來盼望 (羅5: 6-11；約一1: 9) ，神會將有同性戀傾向的人，從受同性戀的性行為的試探中拯救出來 (林前10: 15)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60"/>
        <w:jc w:val="both"/>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single"/>
          <w:shd w:fill="auto" w:val="clear"/>
          <w:vertAlign w:val="baseline"/>
          <w:rtl w:val="0"/>
        </w:rPr>
        <w:t xml:space="preserve">聖經基礎</w:t>
      </w: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1.所多瑪、蛾摩拉（創19:1-11）以及基比亞（士19:22-6）兩事件乃以敘事的方式描述兩件與同性性行為有關的記載。在新約，耶穌批判兩事件的當地人不善待客人（參考太10: 2-15; 11: 20-24; 路10: 8-12），這樣可以說兩事件的罪名是「不善待客人」，「不義」，「虛假」，但是罪行是意圖對客人施加同性性行為這種「惡事」（創19:7）、「醜事」（士19:23）；換言之，是意圖強姦。因為關鍵的字詞 “任我們所為” (認識：know：</w:t>
      </w:r>
      <w:r w:rsidDel="00000000" w:rsidR="00000000" w:rsidRPr="00000000">
        <w:rPr>
          <w:rFonts w:ascii="KaiTi" w:cs="KaiTi" w:eastAsia="KaiTi" w:hAnsi="KaiTi"/>
          <w:b w:val="0"/>
          <w:i w:val="1"/>
          <w:smallCaps w:val="0"/>
          <w:strike w:val="0"/>
          <w:color w:val="000000"/>
          <w:sz w:val="28"/>
          <w:szCs w:val="28"/>
          <w:u w:val="none"/>
          <w:shd w:fill="auto" w:val="clear"/>
          <w:vertAlign w:val="baseline"/>
          <w:rtl w:val="0"/>
        </w:rPr>
        <w:t xml:space="preserve">yada</w:t>
      </w: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 ，在這裡應該是指 “性交”。 換言之，所多瑪、蛾摩拉以及基比亞事件關鍵就在於欲對客人做出同性性行為這種惡事。而這也就是為何猶大書第七節對所多瑪、蛾摩拉及其周圍的人的評價是「一味的行淫，隨從逆性的情慾」。</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2.聖經非常清楚地否定同性性行為。摩西律法既是宗教規例，也是倫理規例的，而且正因為是宗教的，因而更具有倫理性。(利18: 22；20:13)</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3. 使徒保羅在這裡非常清楚地否定同性性行為。明確指出是人類離開神以後，自以為聰明，反成為愚拙的其中一種罪的果子。是人類叛逆神的罪行之一。(羅1: 24-28)</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4. 使徒保羅在這兩卷書中都提到 “親男色的：homosexual offenders (perverts)：</w:t>
      </w:r>
      <w:r w:rsidDel="00000000" w:rsidR="00000000" w:rsidRPr="00000000">
        <w:rPr>
          <w:rFonts w:ascii="KaiTi" w:cs="KaiTi" w:eastAsia="KaiTi" w:hAnsi="KaiTi"/>
          <w:b w:val="0"/>
          <w:i w:val="1"/>
          <w:smallCaps w:val="0"/>
          <w:strike w:val="0"/>
          <w:color w:val="000000"/>
          <w:sz w:val="28"/>
          <w:szCs w:val="28"/>
          <w:u w:val="none"/>
          <w:shd w:fill="auto" w:val="clear"/>
          <w:vertAlign w:val="baseline"/>
          <w:rtl w:val="0"/>
        </w:rPr>
        <w:t xml:space="preserve">arsenokoitai</w:t>
      </w: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 都不能承受神的國。在提摩太前書1: 9-10所見到的，更可與十誡作一比較。(林前6: 9-11；提前1: 9-10)</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1"/>
          <w:i w:val="0"/>
          <w:smallCaps w:val="0"/>
          <w:strike w:val="0"/>
          <w:color w:val="000000"/>
          <w:sz w:val="28"/>
          <w:szCs w:val="28"/>
          <w:u w:val="none"/>
          <w:shd w:fill="auto" w:val="clear"/>
          <w:vertAlign w:val="baseline"/>
          <w:rtl w:val="0"/>
        </w:rPr>
        <w:t xml:space="preserve">（五）教牧 / 長執的道德上操守</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    </w:t>
        <w:tab/>
      </w:r>
      <w:r w:rsidDel="00000000" w:rsidR="00000000" w:rsidRPr="00000000">
        <w:rPr>
          <w:rFonts w:ascii="KaiTi" w:cs="KaiTi" w:eastAsia="KaiTi" w:hAnsi="KaiTi"/>
          <w:b w:val="0"/>
          <w:i w:val="0"/>
          <w:smallCaps w:val="0"/>
          <w:strike w:val="0"/>
          <w:color w:val="000000"/>
          <w:sz w:val="28"/>
          <w:szCs w:val="28"/>
          <w:u w:val="single"/>
          <w:shd w:fill="auto" w:val="clear"/>
          <w:vertAlign w:val="baseline"/>
          <w:rtl w:val="0"/>
        </w:rPr>
        <w:t xml:space="preserve">立場</w:t>
      </w: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ab/>
        <w:t xml:space="preserve">“那召你們的既是聖潔，你們在一切所行的事上也要聖潔。”（彼前1:15）在這聖經經文的原則下，教會的教牧 / 長執的道德上操守在一切所行的事上都要聖潔。</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Fonts w:ascii="KaiTi" w:cs="KaiTi" w:eastAsia="KaiTi" w:hAnsi="KaiTi"/>
          <w:b w:val="0"/>
          <w:i w:val="0"/>
          <w:smallCaps w:val="0"/>
          <w:strike w:val="0"/>
          <w:color w:val="000000"/>
          <w:sz w:val="28"/>
          <w:szCs w:val="28"/>
          <w:u w:val="single"/>
          <w:shd w:fill="auto" w:val="clear"/>
          <w:vertAlign w:val="baseline"/>
          <w:rtl w:val="0"/>
        </w:rPr>
        <w:t xml:space="preserve">聖經基礎</w:t>
      </w: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60"/>
        </w:tabs>
        <w:spacing w:after="0" w:before="0" w:line="240" w:lineRule="auto"/>
        <w:ind w:left="960" w:right="0" w:hanging="300"/>
        <w:jc w:val="left"/>
        <w:rPr>
          <w:rFonts w:ascii="KaiTi" w:cs="KaiTi" w:eastAsia="KaiTi" w:hAnsi="KaiTi"/>
          <w:b w:val="0"/>
          <w:i w:val="0"/>
          <w:smallCaps w:val="0"/>
          <w:strike w:val="0"/>
          <w:color w:val="000000"/>
          <w:sz w:val="28"/>
          <w:szCs w:val="28"/>
          <w:u w:val="none"/>
          <w:shd w:fill="auto" w:val="clear"/>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婚姻生活方面：忠於一夫一妻的婚姻關係：只作一個婦人的丈夫 / 只作一個丈夫的妻子(提前 3:2)，遠避淫行 (帖前 4:3)。</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60"/>
        </w:tabs>
        <w:spacing w:after="0" w:before="0" w:line="240" w:lineRule="auto"/>
        <w:ind w:left="66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60"/>
        </w:tabs>
        <w:spacing w:after="0" w:before="0" w:line="240" w:lineRule="auto"/>
        <w:ind w:left="960" w:right="0" w:hanging="300"/>
        <w:jc w:val="left"/>
        <w:rPr>
          <w:rFonts w:ascii="KaiTi" w:cs="KaiTi" w:eastAsia="KaiTi" w:hAnsi="KaiTi"/>
          <w:b w:val="0"/>
          <w:i w:val="0"/>
          <w:smallCaps w:val="0"/>
          <w:strike w:val="0"/>
          <w:color w:val="000000"/>
          <w:sz w:val="28"/>
          <w:szCs w:val="28"/>
          <w:u w:val="none"/>
          <w:shd w:fill="auto" w:val="clear"/>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 待人接物 / 言行舉止方面：</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320"/>
        </w:tabs>
        <w:spacing w:after="0" w:before="0" w:line="240" w:lineRule="auto"/>
        <w:ind w:left="1320" w:right="0" w:hanging="360"/>
        <w:jc w:val="left"/>
        <w:rPr>
          <w:b w:val="0"/>
          <w:i w:val="0"/>
          <w:smallCaps w:val="0"/>
          <w:strike w:val="0"/>
          <w:color w:val="000000"/>
          <w:sz w:val="28"/>
          <w:szCs w:val="28"/>
          <w:u w:val="none"/>
          <w:shd w:fill="auto" w:val="clear"/>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不說讒言 (提前 3:11)</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320"/>
        </w:tabs>
        <w:spacing w:after="0" w:before="0" w:line="240" w:lineRule="auto"/>
        <w:ind w:left="1320" w:right="0" w:hanging="360"/>
        <w:jc w:val="left"/>
        <w:rPr>
          <w:b w:val="0"/>
          <w:i w:val="0"/>
          <w:smallCaps w:val="0"/>
          <w:strike w:val="0"/>
          <w:color w:val="000000"/>
          <w:sz w:val="28"/>
          <w:szCs w:val="28"/>
          <w:u w:val="none"/>
          <w:shd w:fill="auto" w:val="clear"/>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不說淫詞妄語和戲笑的話 (弗 5:4)</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320"/>
        </w:tabs>
        <w:spacing w:after="0" w:before="0" w:line="240" w:lineRule="auto"/>
        <w:ind w:left="1320" w:right="0" w:hanging="360"/>
        <w:jc w:val="left"/>
        <w:rPr>
          <w:b w:val="0"/>
          <w:i w:val="0"/>
          <w:smallCaps w:val="0"/>
          <w:strike w:val="0"/>
          <w:color w:val="000000"/>
          <w:sz w:val="28"/>
          <w:szCs w:val="28"/>
          <w:u w:val="none"/>
          <w:shd w:fill="auto" w:val="clear"/>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不醉酒荒宴 (羅 13:13)</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320"/>
        </w:tabs>
        <w:spacing w:after="0" w:before="0" w:line="240" w:lineRule="auto"/>
        <w:ind w:left="1320" w:right="0" w:hanging="360"/>
        <w:jc w:val="left"/>
        <w:rPr>
          <w:b w:val="0"/>
          <w:i w:val="0"/>
          <w:smallCaps w:val="0"/>
          <w:strike w:val="0"/>
          <w:color w:val="000000"/>
          <w:sz w:val="28"/>
          <w:szCs w:val="28"/>
          <w:u w:val="none"/>
          <w:shd w:fill="auto" w:val="clear"/>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不貪圖財利 (提前 3:3, 8)</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320"/>
        </w:tabs>
        <w:spacing w:after="0" w:before="0" w:line="240" w:lineRule="auto"/>
        <w:ind w:left="1320" w:right="0" w:hanging="360"/>
        <w:jc w:val="left"/>
        <w:rPr>
          <w:b w:val="0"/>
          <w:i w:val="0"/>
          <w:smallCaps w:val="0"/>
          <w:strike w:val="0"/>
          <w:color w:val="000000"/>
          <w:sz w:val="28"/>
          <w:szCs w:val="28"/>
          <w:u w:val="none"/>
          <w:shd w:fill="auto" w:val="clear"/>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不受賄 (撒上 8:3) ，要廉潔 (林後 6:6)</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320"/>
        </w:tabs>
        <w:spacing w:after="0" w:before="0" w:line="240" w:lineRule="auto"/>
        <w:ind w:left="1320" w:right="0" w:hanging="360"/>
        <w:jc w:val="left"/>
        <w:rPr>
          <w:b w:val="0"/>
          <w:i w:val="0"/>
          <w:smallCaps w:val="0"/>
          <w:strike w:val="0"/>
          <w:color w:val="000000"/>
          <w:sz w:val="28"/>
          <w:szCs w:val="28"/>
          <w:u w:val="none"/>
          <w:shd w:fill="auto" w:val="clear"/>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不爭競 (提後 2:24)</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320"/>
        </w:tabs>
        <w:spacing w:after="0" w:before="0" w:line="240" w:lineRule="auto"/>
        <w:ind w:left="1320" w:right="0" w:hanging="360"/>
        <w:jc w:val="left"/>
        <w:rPr>
          <w:b w:val="0"/>
          <w:i w:val="0"/>
          <w:smallCaps w:val="0"/>
          <w:strike w:val="0"/>
          <w:color w:val="000000"/>
          <w:sz w:val="28"/>
          <w:szCs w:val="28"/>
          <w:u w:val="none"/>
          <w:shd w:fill="auto" w:val="clear"/>
        </w:rPr>
      </w:pPr>
      <w:r w:rsidDel="00000000" w:rsidR="00000000" w:rsidRPr="00000000">
        <w:rPr>
          <w:rFonts w:ascii="KaiTi" w:cs="KaiTi" w:eastAsia="KaiTi" w:hAnsi="KaiTi"/>
          <w:b w:val="0"/>
          <w:i w:val="0"/>
          <w:smallCaps w:val="0"/>
          <w:strike w:val="0"/>
          <w:color w:val="000000"/>
          <w:sz w:val="28"/>
          <w:szCs w:val="28"/>
          <w:u w:val="none"/>
          <w:shd w:fill="auto" w:val="clear"/>
          <w:vertAlign w:val="baseline"/>
          <w:rtl w:val="0"/>
        </w:rPr>
        <w:t xml:space="preserve">不屈枉正直、行公義、好憐憫 (彌 6:8)</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iTi" w:cs="KaiTi" w:eastAsia="KaiTi" w:hAnsi="KaiT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iTi" w:cs="KaiTi" w:eastAsia="KaiTi" w:hAnsi="KaiT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iTi" w:cs="KaiTi" w:eastAsia="KaiTi" w:hAnsi="KaiT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iTi" w:cs="KaiTi" w:eastAsia="KaiTi" w:hAnsi="KaiT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iTi" w:cs="KaiTi" w:eastAsia="KaiTi" w:hAnsi="KaiT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iTi" w:cs="KaiTi" w:eastAsia="KaiTi" w:hAnsi="KaiT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iTi" w:cs="KaiTi" w:eastAsia="KaiTi" w:hAnsi="KaiTi"/>
          <w:b w:val="0"/>
          <w:i w:val="0"/>
          <w:smallCaps w:val="0"/>
          <w:strike w:val="0"/>
          <w:color w:val="000000"/>
          <w:sz w:val="28"/>
          <w:szCs w:val="28"/>
          <w:u w:val="none"/>
          <w:shd w:fill="auto" w:val="clear"/>
          <w:vertAlign w:val="baseline"/>
        </w:rPr>
      </w:pPr>
      <w:r w:rsidDel="00000000" w:rsidR="00000000" w:rsidRPr="00000000">
        <w:rPr>
          <w:rtl w:val="0"/>
        </w:rPr>
      </w:r>
    </w:p>
    <w:sectPr>
      <w:footerReference r:id="rId6" w:type="default"/>
      <w:footerReference r:id="rId7" w:type="even"/>
      <w:pgSz w:h="16837" w:w="11905" w:orient="portrait"/>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KaiT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60" w:hanging="360"/>
      </w:pPr>
      <w:rPr>
        <w:rFonts w:ascii="Times New Roman" w:cs="Times New Roman" w:eastAsia="Times New Roman" w:hAnsi="Times New Roman"/>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lvl w:ilvl="0">
      <w:start w:val="1"/>
      <w:numFmt w:val="decimal"/>
      <w:lvlText w:val="%1."/>
      <w:lvlJc w:val="left"/>
      <w:pPr>
        <w:ind w:left="300" w:hanging="30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